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00:00:00,199 --&gt; 00:00:23,719 [Speaker 0]</w:t>
      </w:r>
    </w:p>
    <w:p>
      <w:pPr>
        <w:pStyle w:val="Normal"/>
        <w:rPr/>
      </w:pPr>
      <w:r>
        <w:rPr>
          <w:sz w:val="22"/>
        </w:rPr>
        <w:t>We're standing in front of the cabin that was owned by a free Black named James Webb and his wife, Mary Ann. James Webb was born free. He bought the land that we're standing on, about 50 acres. He built this cabin that's behind it, um, and then he went down the road and purchased his wife and two children from a slave owner and brought them here to live.</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1</w:t>
    </w:r>
    <w:r>
      <w:rPr/>
      <w:fldChar w:fldCharType="end"/>
    </w:r>
    <w:r>
      <w:rPr/>
      <w:t>/</w:t>
    </w:r>
    <w:r>
      <w:rPr/>
      <w:fldChar w:fldCharType="begin"/>
    </w:r>
    <w:r>
      <w:rPr/>
      <w:instrText xml:space="preserve"> NUMPAGES </w:instrText>
    </w:r>
    <w:r>
      <w:rPr/>
      <w:fldChar w:fldCharType="separate"/>
    </w:r>
    <w:r>
      <w:rPr/>
      <w:t>1</w:t>
    </w:r>
    <w:r>
      <w:rPr/>
      <w:fldChar w:fldCharType="end"/>
    </w:r>
    <w:r>
      <w:rPr/>
      <w:t xml:space="preserve">  **Draft Material File </w:t>
    </w:r>
    <w:r>
      <w:rPr/>
      <w:fldChar w:fldCharType="begin"/>
    </w:r>
    <w:r>
      <w:rPr/>
      <w:instrText xml:space="preserve"> FILENAME </w:instrText>
    </w:r>
    <w:r>
      <w:rPr/>
      <w:fldChar w:fldCharType="separate"/>
    </w:r>
    <w:r>
      <w:rPr/>
      <w:t>2018_05_23_A003d_Web_Cabin_Intro_To_small.mp4.docx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1</Pages>
  <Words>89</Words>
  <Characters>441</Characters>
  <CharactersWithSpaces>527</CharactersWithSpaces>
  <Paragraphs>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2025-07-05T18:28:39Z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